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EBF" w:rsidRDefault="00F72E68">
      <w:pPr>
        <w:jc w:val="center"/>
      </w:pPr>
      <w:r>
        <w:rPr>
          <w:noProof/>
        </w:rPr>
        <w:drawing>
          <wp:inline distT="0" distB="0" distL="0" distR="0">
            <wp:extent cx="1076325" cy="772795"/>
            <wp:effectExtent l="0" t="0" r="0" b="0"/>
            <wp:docPr id="1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EBF" w:rsidRDefault="00060EBF">
      <w:pPr>
        <w:jc w:val="center"/>
      </w:pPr>
    </w:p>
    <w:p w:rsidR="00060EBF" w:rsidRDefault="00F72E68">
      <w:pPr>
        <w:jc w:val="center"/>
        <w:rPr>
          <w:b/>
          <w:sz w:val="36"/>
        </w:rPr>
      </w:pPr>
      <w:r>
        <w:rPr>
          <w:b/>
          <w:sz w:val="36"/>
        </w:rPr>
        <w:t xml:space="preserve">SYLABUS </w:t>
      </w:r>
    </w:p>
    <w:p w:rsidR="00060EBF" w:rsidRDefault="00F72E68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Systemy informatyczne w ochronie zdrowia</w:t>
      </w:r>
    </w:p>
    <w:p w:rsidR="00060EBF" w:rsidRDefault="00060EBF">
      <w:pPr>
        <w:jc w:val="center"/>
        <w:rPr>
          <w:b/>
          <w:sz w:val="28"/>
        </w:rPr>
      </w:pPr>
    </w:p>
    <w:p w:rsidR="00060EBF" w:rsidRDefault="00F72E68">
      <w:pPr>
        <w:jc w:val="center"/>
        <w:rPr>
          <w:b/>
          <w:sz w:val="28"/>
        </w:rPr>
      </w:pPr>
      <w:r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1401"/>
        <w:gridCol w:w="1720"/>
        <w:gridCol w:w="460"/>
        <w:gridCol w:w="472"/>
        <w:gridCol w:w="366"/>
        <w:gridCol w:w="986"/>
        <w:gridCol w:w="489"/>
        <w:gridCol w:w="626"/>
        <w:gridCol w:w="170"/>
        <w:gridCol w:w="756"/>
        <w:gridCol w:w="95"/>
        <w:gridCol w:w="694"/>
        <w:gridCol w:w="822"/>
      </w:tblGrid>
      <w:tr w:rsidR="00060EBF"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Jednostka organizacyjna: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Wydział Profilaktyki i zdrowia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Rok akademicki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202</w:t>
            </w:r>
            <w:r w:rsidR="00276463">
              <w:rPr>
                <w:rFonts w:eastAsia="Calibri"/>
                <w:sz w:val="24"/>
              </w:rPr>
              <w:t>6</w:t>
            </w:r>
            <w:r>
              <w:rPr>
                <w:rFonts w:eastAsia="Calibri"/>
                <w:sz w:val="24"/>
              </w:rPr>
              <w:t>/202</w:t>
            </w:r>
            <w:r w:rsidR="00276463">
              <w:rPr>
                <w:rFonts w:eastAsia="Calibri"/>
                <w:sz w:val="24"/>
              </w:rPr>
              <w:t>7</w:t>
            </w:r>
          </w:p>
        </w:tc>
      </w:tr>
      <w:tr w:rsidR="00060EBF"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Kierunek studiów: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Ratownictwo medyczne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Rok studiów/ semestr</w:t>
            </w:r>
          </w:p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Rok </w:t>
            </w:r>
            <w:r>
              <w:rPr>
                <w:rFonts w:eastAsia="Calibri"/>
                <w:sz w:val="24"/>
              </w:rPr>
              <w:t>I</w:t>
            </w:r>
            <w:r>
              <w:rPr>
                <w:rFonts w:eastAsia="Calibri"/>
                <w:b/>
                <w:sz w:val="24"/>
              </w:rPr>
              <w:t xml:space="preserve">; </w:t>
            </w:r>
            <w:proofErr w:type="spellStart"/>
            <w:r>
              <w:rPr>
                <w:rFonts w:eastAsia="Calibri"/>
                <w:b/>
                <w:sz w:val="24"/>
              </w:rPr>
              <w:t>sem</w:t>
            </w:r>
            <w:proofErr w:type="spellEnd"/>
            <w:r>
              <w:rPr>
                <w:rFonts w:eastAsia="Calibri"/>
                <w:b/>
                <w:sz w:val="24"/>
              </w:rPr>
              <w:t xml:space="preserve">. </w:t>
            </w:r>
            <w:r>
              <w:rPr>
                <w:rFonts w:eastAsia="Calibri"/>
                <w:sz w:val="24"/>
              </w:rPr>
              <w:t xml:space="preserve"> 2</w:t>
            </w:r>
          </w:p>
        </w:tc>
      </w:tr>
      <w:tr w:rsidR="00060EBF"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Poziom kształcenia: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Studia pierwszego stopnia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b/>
                <w:sz w:val="24"/>
              </w:rPr>
              <w:t>Poziom kwalifikacji PRK:</w:t>
            </w:r>
            <w:r>
              <w:rPr>
                <w:rFonts w:eastAsia="Calibri"/>
                <w:sz w:val="24"/>
              </w:rPr>
              <w:t xml:space="preserve"> VI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b/>
                <w:sz w:val="24"/>
                <w:szCs w:val="20"/>
              </w:rPr>
            </w:pPr>
            <w:r>
              <w:rPr>
                <w:rFonts w:eastAsia="Calibri"/>
                <w:b/>
                <w:sz w:val="24"/>
                <w:szCs w:val="20"/>
              </w:rPr>
              <w:t>Kod przedmiotu:</w:t>
            </w:r>
          </w:p>
          <w:p w:rsidR="00060EBF" w:rsidRDefault="00F72E68">
            <w:pPr>
              <w:pStyle w:val="Akapitzlist"/>
              <w:numPr>
                <w:ilvl w:val="0"/>
                <w:numId w:val="1"/>
              </w:numPr>
              <w:tabs>
                <w:tab w:val="left" w:pos="167"/>
              </w:tabs>
              <w:spacing w:after="0" w:line="240" w:lineRule="auto"/>
              <w:ind w:left="0" w:hanging="51"/>
              <w:rPr>
                <w:sz w:val="24"/>
              </w:rPr>
            </w:pPr>
            <w:r>
              <w:rPr>
                <w:rFonts w:eastAsia="Calibri"/>
                <w:sz w:val="20"/>
                <w:szCs w:val="20"/>
              </w:rPr>
              <w:t xml:space="preserve">Nauki przedkliniczne; B- Nauki społeczne i humanizm w ratownictwie medycznym; C- Nauki kliniczne; </w:t>
            </w:r>
            <w:r>
              <w:rPr>
                <w:rFonts w:eastAsia="Calibri"/>
                <w:sz w:val="20"/>
                <w:szCs w:val="20"/>
                <w:u w:val="single"/>
              </w:rPr>
              <w:t>Moduły do dyspozycji nauczyciela</w:t>
            </w:r>
            <w:r>
              <w:rPr>
                <w:rFonts w:eastAsia="Calibri"/>
                <w:sz w:val="20"/>
                <w:szCs w:val="20"/>
              </w:rPr>
              <w:t>; Praktyka zawodowa</w:t>
            </w:r>
          </w:p>
        </w:tc>
      </w:tr>
      <w:tr w:rsidR="00060EBF">
        <w:trPr>
          <w:trHeight w:val="753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4"/>
              </w:rPr>
              <w:t>Odniesienie do efektów uczenia się na poziomie 6 wskazanych w uniwersalnych charakterystykach poziomów PRK: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 P6U_W; P6U_U; P6U_K</w:t>
            </w:r>
          </w:p>
          <w:p w:rsidR="00060EBF" w:rsidRDefault="00060EB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060EBF">
        <w:trPr>
          <w:trHeight w:val="753"/>
        </w:trPr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Forma studiów: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niestacjonarne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Statut przedmiotu: </w:t>
            </w:r>
            <w:r>
              <w:rPr>
                <w:rFonts w:eastAsia="Calibri"/>
                <w:sz w:val="24"/>
              </w:rPr>
              <w:t>do wyboru</w:t>
            </w:r>
          </w:p>
        </w:tc>
      </w:tr>
      <w:tr w:rsidR="00060EBF">
        <w:trPr>
          <w:trHeight w:val="835"/>
        </w:trPr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Profil studiów: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praktyczny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Forma weryfikacji uzyskanych efektów uczenia się: </w:t>
            </w:r>
            <w:r>
              <w:rPr>
                <w:rFonts w:eastAsia="Calibri"/>
                <w:sz w:val="24"/>
              </w:rPr>
              <w:t>Zaliczenie na ocenę</w:t>
            </w:r>
          </w:p>
        </w:tc>
      </w:tr>
      <w:tr w:rsidR="00060EBF">
        <w:tc>
          <w:tcPr>
            <w:tcW w:w="4256" w:type="dxa"/>
            <w:gridSpan w:val="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Dyscypliny:</w:t>
            </w:r>
          </w:p>
          <w:p w:rsidR="00060EBF" w:rsidRDefault="00F72E68">
            <w:pPr>
              <w:spacing w:after="0" w:line="24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Nauki o zdrowiu/ Nauki medyczne</w:t>
            </w:r>
          </w:p>
        </w:tc>
        <w:tc>
          <w:tcPr>
            <w:tcW w:w="5476" w:type="dxa"/>
            <w:gridSpan w:val="10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Liczba punktów ECTS: 3</w:t>
            </w:r>
          </w:p>
        </w:tc>
      </w:tr>
      <w:tr w:rsidR="00060EBF">
        <w:trPr>
          <w:trHeight w:val="412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rFonts w:ascii="Calibri" w:eastAsia="Calibri" w:hAnsi="Calibri" w:cs="Calibri"/>
                <w:color w:val="00B0F0"/>
                <w:sz w:val="18"/>
                <w:szCs w:val="16"/>
              </w:rPr>
            </w:pPr>
            <w:r>
              <w:rPr>
                <w:rFonts w:eastAsia="Calibri"/>
                <w:b/>
                <w:sz w:val="24"/>
              </w:rPr>
              <w:t>Koordynator przedmiotu</w:t>
            </w:r>
            <w:r>
              <w:rPr>
                <w:rFonts w:eastAsia="Calibri"/>
                <w:sz w:val="24"/>
              </w:rPr>
              <w:t xml:space="preserve">:  </w:t>
            </w:r>
          </w:p>
          <w:p w:rsidR="00060EBF" w:rsidRDefault="00060EBF">
            <w:pPr>
              <w:spacing w:after="0" w:line="240" w:lineRule="auto"/>
              <w:rPr>
                <w:rFonts w:ascii="Calibri" w:eastAsia="Calibri" w:hAnsi="Calibri" w:cs="Calibri"/>
                <w:color w:val="00B0F0"/>
                <w:sz w:val="18"/>
                <w:szCs w:val="16"/>
              </w:rPr>
            </w:pPr>
          </w:p>
          <w:p w:rsidR="00060EBF" w:rsidRDefault="00060EBF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60EBF">
        <w:trPr>
          <w:trHeight w:val="418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rFonts w:ascii="Calibri" w:eastAsia="Calibri" w:hAnsi="Calibri" w:cs="Calibri"/>
                <w:color w:val="00B0F0"/>
                <w:sz w:val="18"/>
                <w:szCs w:val="16"/>
              </w:rPr>
            </w:pPr>
            <w:r>
              <w:rPr>
                <w:rFonts w:eastAsia="Calibri"/>
                <w:b/>
                <w:sz w:val="24"/>
              </w:rPr>
              <w:t>Prowadzący zajęcia:</w:t>
            </w:r>
            <w:r>
              <w:rPr>
                <w:rFonts w:eastAsia="Calibri"/>
                <w:sz w:val="24"/>
              </w:rPr>
              <w:t xml:space="preserve">   </w:t>
            </w:r>
          </w:p>
          <w:p w:rsidR="00060EBF" w:rsidRDefault="00060EBF">
            <w:pPr>
              <w:spacing w:after="0" w:line="240" w:lineRule="auto"/>
              <w:rPr>
                <w:rFonts w:ascii="Calibri" w:eastAsia="Calibri" w:hAnsi="Calibri" w:cs="Calibri"/>
                <w:color w:val="00B0F0"/>
                <w:sz w:val="18"/>
                <w:szCs w:val="16"/>
              </w:rPr>
            </w:pPr>
          </w:p>
          <w:p w:rsidR="00060EBF" w:rsidRDefault="00060EBF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60EBF">
        <w:trPr>
          <w:trHeight w:val="418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ind w:left="1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sz w:val="24"/>
              </w:rPr>
              <w:t xml:space="preserve">Wymagania wstępne: </w:t>
            </w:r>
            <w:r>
              <w:rPr>
                <w:rFonts w:eastAsia="Calibri"/>
                <w:color w:val="000000"/>
                <w:szCs w:val="20"/>
              </w:rPr>
              <w:t>Przed przystąpieniem do realizacji przedmiotu student powinien posiadać wiedzę, umiejętności i kompetencje społeczne z zakresu obowiązującego programu informatyki</w:t>
            </w:r>
          </w:p>
        </w:tc>
      </w:tr>
      <w:tr w:rsidR="00060EBF">
        <w:trPr>
          <w:trHeight w:val="418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color w:val="000000"/>
                <w:szCs w:val="20"/>
              </w:rPr>
            </w:pPr>
            <w:r>
              <w:rPr>
                <w:rFonts w:eastAsia="Calibri"/>
                <w:b/>
                <w:sz w:val="24"/>
              </w:rPr>
              <w:t xml:space="preserve">Założenia i cele dla przedmiotu: </w:t>
            </w:r>
            <w:r>
              <w:rPr>
                <w:rFonts w:eastAsia="Calibri"/>
                <w:color w:val="000000"/>
                <w:szCs w:val="20"/>
              </w:rPr>
              <w:t>W wyniku procesu kształcenia student powinien znać systemy informatyczne funkcjonujące w ochronie zdrowia</w:t>
            </w: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ind w:right="-106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8"/>
              </w:rPr>
              <w:t>Efekty uczenia się dla przedmiotu</w:t>
            </w:r>
          </w:p>
        </w:tc>
      </w:tr>
      <w:tr w:rsidR="00060EBF"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z w:val="16"/>
              </w:rPr>
              <w:t xml:space="preserve">Odniesienie do efektów uczenia się na poziomie 6 charakterystyk </w:t>
            </w:r>
            <w:r w:rsidR="001A393D">
              <w:rPr>
                <w:rFonts w:eastAsia="Calibri"/>
                <w:b/>
                <w:sz w:val="16"/>
              </w:rPr>
              <w:t>pierwszego</w:t>
            </w:r>
            <w:bookmarkStart w:id="0" w:name="_GoBack"/>
            <w:bookmarkEnd w:id="0"/>
            <w:r>
              <w:rPr>
                <w:rFonts w:eastAsia="Calibri"/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z w:val="18"/>
              </w:rPr>
              <w:t>Kierunkowe efekty uczenia się</w:t>
            </w:r>
          </w:p>
        </w:tc>
        <w:tc>
          <w:tcPr>
            <w:tcW w:w="2537" w:type="dxa"/>
            <w:gridSpan w:val="5"/>
          </w:tcPr>
          <w:p w:rsidR="00060EBF" w:rsidRDefault="00F72E68">
            <w:pPr>
              <w:spacing w:after="0" w:line="240" w:lineRule="auto"/>
              <w:ind w:right="-106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z w:val="20"/>
              </w:rPr>
              <w:t>Metody weryfikacji</w:t>
            </w:r>
          </w:p>
        </w:tc>
      </w:tr>
      <w:tr w:rsidR="00060EBF">
        <w:trPr>
          <w:trHeight w:val="274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/>
                <w:b/>
                <w:sz w:val="24"/>
              </w:rPr>
              <w:lastRenderedPageBreak/>
              <w:t>Wiedzy- Student zna i rozumie:</w:t>
            </w:r>
          </w:p>
        </w:tc>
      </w:tr>
      <w:tr w:rsidR="00060EBF">
        <w:trPr>
          <w:trHeight w:val="566"/>
        </w:trPr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możliwości współczesnej </w:t>
            </w:r>
            <w:proofErr w:type="spellStart"/>
            <w:r>
              <w:rPr>
                <w:rFonts w:eastAsia="Calibri"/>
                <w:sz w:val="20"/>
                <w:szCs w:val="20"/>
              </w:rPr>
              <w:t>telemedycyny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jako narzędzia wspomagania pracy ratownika medycznego</w:t>
            </w:r>
          </w:p>
        </w:tc>
        <w:tc>
          <w:tcPr>
            <w:tcW w:w="1352" w:type="dxa"/>
            <w:gridSpan w:val="2"/>
            <w:vMerge w:val="restart"/>
          </w:tcPr>
          <w:p w:rsidR="00060EBF" w:rsidRDefault="00060EB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60EBF" w:rsidRDefault="00F72E68">
            <w:pPr>
              <w:spacing w:after="0" w:line="240" w:lineRule="auto"/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2"/>
          </w:tcPr>
          <w:p w:rsidR="00060EBF" w:rsidRDefault="00F72E6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A.W52</w:t>
            </w:r>
          </w:p>
        </w:tc>
        <w:tc>
          <w:tcPr>
            <w:tcW w:w="2537" w:type="dxa"/>
            <w:gridSpan w:val="5"/>
            <w:vMerge w:val="restart"/>
          </w:tcPr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aktywność</w:t>
            </w:r>
          </w:p>
        </w:tc>
      </w:tr>
      <w:tr w:rsidR="00060EBF">
        <w:trPr>
          <w:trHeight w:val="566"/>
        </w:trPr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podstawy dysponowania zespołami ratownictwa medycznego i koordynacji działań w systemie Państwowe Ratownictwo Medyczne</w:t>
            </w:r>
          </w:p>
        </w:tc>
        <w:tc>
          <w:tcPr>
            <w:tcW w:w="1352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2"/>
          </w:tcPr>
          <w:p w:rsidR="00060EBF" w:rsidRDefault="00F72E6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C.W124</w:t>
            </w:r>
          </w:p>
        </w:tc>
        <w:tc>
          <w:tcPr>
            <w:tcW w:w="2537" w:type="dxa"/>
            <w:gridSpan w:val="5"/>
            <w:vMerge/>
          </w:tcPr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60EBF">
        <w:trPr>
          <w:trHeight w:val="356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/>
                <w:b/>
                <w:sz w:val="24"/>
              </w:rPr>
              <w:t>Umiejętności- Student potrafi</w:t>
            </w:r>
          </w:p>
        </w:tc>
      </w:tr>
      <w:tr w:rsidR="00060EBF">
        <w:trPr>
          <w:trHeight w:val="356"/>
        </w:trPr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przygotować pacjenta do transportu</w:t>
            </w:r>
          </w:p>
        </w:tc>
        <w:tc>
          <w:tcPr>
            <w:tcW w:w="1352" w:type="dxa"/>
            <w:gridSpan w:val="2"/>
            <w:vMerge w:val="restart"/>
          </w:tcPr>
          <w:p w:rsidR="00060EBF" w:rsidRDefault="00060EB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60EBF" w:rsidRDefault="00F72E6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P6S_UO</w:t>
            </w:r>
          </w:p>
        </w:tc>
        <w:tc>
          <w:tcPr>
            <w:tcW w:w="1115" w:type="dxa"/>
            <w:gridSpan w:val="2"/>
          </w:tcPr>
          <w:p w:rsidR="00060EBF" w:rsidRDefault="00F72E6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C.U26</w:t>
            </w:r>
          </w:p>
        </w:tc>
        <w:tc>
          <w:tcPr>
            <w:tcW w:w="2537" w:type="dxa"/>
            <w:gridSpan w:val="5"/>
            <w:vMerge w:val="restart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Ćwiczenie</w:t>
            </w:r>
          </w:p>
        </w:tc>
      </w:tr>
      <w:tr w:rsidR="00060EBF">
        <w:trPr>
          <w:trHeight w:val="356"/>
        </w:trPr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prowadzić wentylację zastępczą z użyciem respiratora transportowego</w:t>
            </w:r>
          </w:p>
        </w:tc>
        <w:tc>
          <w:tcPr>
            <w:tcW w:w="1352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2"/>
          </w:tcPr>
          <w:p w:rsidR="00060EBF" w:rsidRDefault="00F72E6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C.U50</w:t>
            </w:r>
          </w:p>
        </w:tc>
        <w:tc>
          <w:tcPr>
            <w:tcW w:w="2537" w:type="dxa"/>
            <w:gridSpan w:val="5"/>
            <w:vMerge/>
          </w:tcPr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60EBF">
        <w:trPr>
          <w:trHeight w:val="200"/>
        </w:trPr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Kompetencji społecznych- Student jest gotów do:</w:t>
            </w:r>
          </w:p>
        </w:tc>
      </w:tr>
      <w:tr w:rsidR="00060EBF">
        <w:trPr>
          <w:trHeight w:val="734"/>
        </w:trPr>
        <w:tc>
          <w:tcPr>
            <w:tcW w:w="4728" w:type="dxa"/>
            <w:gridSpan w:val="5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zwracania się do ekspertów w przypadku trudności z samodzielnym rozwiązaniem problemu</w:t>
            </w:r>
          </w:p>
        </w:tc>
        <w:tc>
          <w:tcPr>
            <w:tcW w:w="1352" w:type="dxa"/>
            <w:gridSpan w:val="2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P6S_KK</w:t>
            </w:r>
          </w:p>
          <w:p w:rsidR="00060EBF" w:rsidRDefault="00060EBF">
            <w:pPr>
              <w:spacing w:after="0" w:line="240" w:lineRule="auto"/>
              <w:rPr>
                <w:sz w:val="20"/>
                <w:szCs w:val="20"/>
              </w:rPr>
            </w:pPr>
          </w:p>
          <w:p w:rsidR="00060EBF" w:rsidRDefault="00060EB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2"/>
          </w:tcPr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gridSpan w:val="5"/>
          </w:tcPr>
          <w:p w:rsidR="00060EBF" w:rsidRDefault="00F72E6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obserwacja pracy studenta;</w:t>
            </w:r>
          </w:p>
          <w:p w:rsidR="00060EBF" w:rsidRDefault="00060E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  <w:sz w:val="28"/>
              </w:rPr>
              <w:t>Bilans punktów ECTS</w:t>
            </w: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Szacowany nakład pracy</w:t>
            </w:r>
          </w:p>
        </w:tc>
      </w:tr>
      <w:tr w:rsidR="00060EBF">
        <w:tc>
          <w:tcPr>
            <w:tcW w:w="3796" w:type="dxa"/>
            <w:gridSpan w:val="3"/>
            <w:vMerge w:val="restart"/>
          </w:tcPr>
          <w:p w:rsidR="00060EBF" w:rsidRDefault="00F72E68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sz w:val="24"/>
              </w:rPr>
              <w:t>Forma</w:t>
            </w:r>
          </w:p>
        </w:tc>
        <w:tc>
          <w:tcPr>
            <w:tcW w:w="2773" w:type="dxa"/>
            <w:gridSpan w:val="5"/>
          </w:tcPr>
          <w:p w:rsidR="00060EBF" w:rsidRDefault="00F72E6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060EBF" w:rsidRDefault="00F72E6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Liczba punktów ECTS</w:t>
            </w:r>
          </w:p>
        </w:tc>
      </w:tr>
      <w:tr w:rsidR="00060EBF">
        <w:tc>
          <w:tcPr>
            <w:tcW w:w="3796" w:type="dxa"/>
            <w:gridSpan w:val="3"/>
            <w:vMerge/>
          </w:tcPr>
          <w:p w:rsidR="00060EBF" w:rsidRDefault="00060EBF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298" w:type="dxa"/>
            <w:gridSpan w:val="3"/>
          </w:tcPr>
          <w:p w:rsidR="00060EBF" w:rsidRDefault="00F72E68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rFonts w:eastAsia="Calibri"/>
                <w:b/>
              </w:rPr>
              <w:t>Sem</w:t>
            </w:r>
            <w:proofErr w:type="spellEnd"/>
            <w:r>
              <w:rPr>
                <w:rFonts w:eastAsia="Calibri"/>
                <w:b/>
              </w:rPr>
              <w:t xml:space="preserve"> 1</w:t>
            </w:r>
          </w:p>
        </w:tc>
        <w:tc>
          <w:tcPr>
            <w:tcW w:w="147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  <w:b/>
              </w:rPr>
              <w:t>Sem</w:t>
            </w:r>
            <w:proofErr w:type="spellEnd"/>
            <w:r>
              <w:rPr>
                <w:rFonts w:eastAsia="Calibri"/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  <w:b/>
              </w:rPr>
              <w:t>Sem</w:t>
            </w:r>
            <w:proofErr w:type="spellEnd"/>
            <w:r>
              <w:rPr>
                <w:rFonts w:eastAsia="Calibri"/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  <w:b/>
              </w:rPr>
              <w:t>Sem</w:t>
            </w:r>
            <w:proofErr w:type="spellEnd"/>
            <w:r>
              <w:rPr>
                <w:rFonts w:eastAsia="Calibri"/>
                <w:b/>
              </w:rPr>
              <w:t xml:space="preserve"> 2</w:t>
            </w: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Wykład</w:t>
            </w:r>
          </w:p>
        </w:tc>
        <w:tc>
          <w:tcPr>
            <w:tcW w:w="1298" w:type="dxa"/>
            <w:gridSpan w:val="3"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47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552" w:type="dxa"/>
            <w:gridSpan w:val="3"/>
            <w:vMerge w:val="restart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</w:t>
            </w:r>
          </w:p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Ćwiczenia</w:t>
            </w:r>
          </w:p>
        </w:tc>
        <w:tc>
          <w:tcPr>
            <w:tcW w:w="1298" w:type="dxa"/>
            <w:gridSpan w:val="3"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47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1552" w:type="dxa"/>
            <w:gridSpan w:val="3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11" w:type="dxa"/>
            <w:gridSpan w:val="3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Seminarium</w:t>
            </w:r>
          </w:p>
        </w:tc>
        <w:tc>
          <w:tcPr>
            <w:tcW w:w="1298" w:type="dxa"/>
            <w:gridSpan w:val="3"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47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552" w:type="dxa"/>
            <w:gridSpan w:val="3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11" w:type="dxa"/>
            <w:gridSpan w:val="3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Praca własna studenta</w:t>
            </w:r>
          </w:p>
        </w:tc>
        <w:tc>
          <w:tcPr>
            <w:tcW w:w="1298" w:type="dxa"/>
            <w:gridSpan w:val="3"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475" w:type="dxa"/>
            <w:gridSpan w:val="2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1552" w:type="dxa"/>
            <w:gridSpan w:val="3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611" w:type="dxa"/>
            <w:gridSpan w:val="3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3163" w:type="dxa"/>
            <w:gridSpan w:val="6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3796" w:type="dxa"/>
            <w:gridSpan w:val="3"/>
          </w:tcPr>
          <w:p w:rsidR="00060EBF" w:rsidRDefault="00F72E68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060EBF" w:rsidRDefault="00F72E68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3163" w:type="dxa"/>
            <w:gridSpan w:val="6"/>
            <w:vMerge/>
          </w:tcPr>
          <w:p w:rsidR="00060EBF" w:rsidRDefault="00060EBF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8"/>
              </w:rPr>
              <w:t>Kryteria oceny</w:t>
            </w:r>
          </w:p>
        </w:tc>
      </w:tr>
      <w:tr w:rsidR="00060EBF">
        <w:tc>
          <w:tcPr>
            <w:tcW w:w="2076" w:type="dxa"/>
            <w:gridSpan w:val="2"/>
            <w:vMerge w:val="restart"/>
          </w:tcPr>
          <w:p w:rsidR="00060EBF" w:rsidRDefault="00F72E68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rFonts w:eastAsia="Calibri"/>
                <w:b/>
                <w:sz w:val="20"/>
              </w:rPr>
              <w:t>Kryteria oceny 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niedostateczna (2,0)- student nie opanował minimum umiejętności praktycznych i wiadomości teoretycznych określonych programem przedmiotu; nie posiada znajomości prostych zagadnień i terminologii charakterystycznej dla zawodu ratownika medycznego; nie potrafi wykorzystać wiedzy teoretycznej w praktyce; nie przestrzega przepisów BHP</w:t>
            </w:r>
          </w:p>
        </w:tc>
        <w:tc>
          <w:tcPr>
            <w:tcW w:w="1516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poniżej 49,5%</w:t>
            </w:r>
          </w:p>
        </w:tc>
      </w:tr>
      <w:tr w:rsidR="00060EBF">
        <w:tc>
          <w:tcPr>
            <w:tcW w:w="2076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dostateczna (3,0)- 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49,6-61,7%</w:t>
            </w:r>
          </w:p>
        </w:tc>
      </w:tr>
      <w:tr w:rsidR="00060EBF">
        <w:tc>
          <w:tcPr>
            <w:tcW w:w="2076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dość dobra (3,5)-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Student opanował w ograniczonym zakresie podstawowe wiadomości teoretyczne i umiejętności praktyczne określone w programie nauczania; wykazuje niewystarczającą znajomość rozumienia zagadnień i terminologii charakterystycznej dla zawodu ratownika medycznego;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61,8-73,4%</w:t>
            </w:r>
          </w:p>
        </w:tc>
      </w:tr>
      <w:tr w:rsidR="00060EBF">
        <w:tc>
          <w:tcPr>
            <w:tcW w:w="2076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dobra (4,0)</w:t>
            </w:r>
            <w:r>
              <w:rPr>
                <w:rFonts w:eastAsia="Calibri"/>
              </w:rPr>
              <w:t xml:space="preserve"> - s</w:t>
            </w:r>
            <w:r>
              <w:rPr>
                <w:rFonts w:eastAsia="Calibri"/>
                <w:sz w:val="20"/>
                <w:szCs w:val="20"/>
              </w:rPr>
              <w:t xml:space="preserve">tudent opanował wiadomości i umiejętności w zakresie pozwalającym na zrozumieniu większości materiału z zakresu </w:t>
            </w:r>
            <w:r>
              <w:rPr>
                <w:rFonts w:eastAsia="Calibri"/>
                <w:sz w:val="20"/>
                <w:szCs w:val="20"/>
              </w:rPr>
              <w:lastRenderedPageBreak/>
              <w:t>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73,5-85,2%</w:t>
            </w:r>
          </w:p>
        </w:tc>
      </w:tr>
      <w:tr w:rsidR="00060EBF">
        <w:tc>
          <w:tcPr>
            <w:tcW w:w="2076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ponad dobra (4,5)</w:t>
            </w:r>
            <w:r>
              <w:rPr>
                <w:rFonts w:eastAsia="Calibri"/>
              </w:rPr>
              <w:t xml:space="preserve"> - </w:t>
            </w:r>
            <w:r>
              <w:rPr>
                <w:rFonts w:eastAsia="Calibri"/>
                <w:sz w:val="20"/>
                <w:szCs w:val="20"/>
              </w:rPr>
              <w:t>student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85,3-97,1%</w:t>
            </w:r>
          </w:p>
        </w:tc>
      </w:tr>
      <w:tr w:rsidR="00060EBF">
        <w:tc>
          <w:tcPr>
            <w:tcW w:w="2076" w:type="dxa"/>
            <w:gridSpan w:val="2"/>
            <w:vMerge/>
          </w:tcPr>
          <w:p w:rsidR="00060EBF" w:rsidRDefault="00060EBF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Ocena bardzo dobra (5,0)</w:t>
            </w:r>
            <w:r>
              <w:rPr>
                <w:rFonts w:eastAsia="Calibri"/>
              </w:rPr>
              <w:t xml:space="preserve"> - </w:t>
            </w:r>
            <w:r>
              <w:rPr>
                <w:rFonts w:eastAsia="Calibri"/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ratownika medycznego;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60EBF" w:rsidRDefault="00F72E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97,2-100%</w:t>
            </w: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8"/>
                <w:szCs w:val="20"/>
              </w:rPr>
              <w:t>Literatura</w:t>
            </w:r>
          </w:p>
        </w:tc>
      </w:tr>
      <w:tr w:rsidR="00060EBF">
        <w:tc>
          <w:tcPr>
            <w:tcW w:w="2076" w:type="dxa"/>
            <w:gridSpan w:val="2"/>
          </w:tcPr>
          <w:p w:rsidR="00060EBF" w:rsidRDefault="00F72E68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Literatura obowiązkowa</w:t>
            </w:r>
          </w:p>
        </w:tc>
        <w:tc>
          <w:tcPr>
            <w:tcW w:w="7656" w:type="dxa"/>
            <w:gridSpan w:val="12"/>
          </w:tcPr>
          <w:p w:rsidR="00060EBF" w:rsidRDefault="00F72E68">
            <w:pPr>
              <w:pStyle w:val="Default"/>
              <w:spacing w:before="1"/>
              <w:ind w:left="11"/>
              <w:jc w:val="both"/>
              <w:rPr>
                <w:sz w:val="22"/>
              </w:rPr>
            </w:pPr>
            <w:r>
              <w:rPr>
                <w:sz w:val="22"/>
              </w:rPr>
              <w:t>Kiliańska D., Grabowska H., Krzemińska-Gaworska A.:E-zdrowie Wprowadzenie do informatyki w pielęgniarstwie. PZWL 2017,</w:t>
            </w:r>
          </w:p>
          <w:p w:rsidR="00060EBF" w:rsidRDefault="00F72E68">
            <w:pPr>
              <w:pStyle w:val="Default"/>
              <w:spacing w:before="1"/>
              <w:ind w:left="11" w:hanging="4"/>
              <w:jc w:val="both"/>
              <w:rPr>
                <w:sz w:val="22"/>
              </w:rPr>
            </w:pPr>
            <w:r>
              <w:rPr>
                <w:sz w:val="22"/>
              </w:rPr>
              <w:t xml:space="preserve">Gibiński M., </w:t>
            </w:r>
            <w:proofErr w:type="spellStart"/>
            <w:r>
              <w:rPr>
                <w:sz w:val="22"/>
              </w:rPr>
              <w:t>Ciemierz</w:t>
            </w:r>
            <w:proofErr w:type="spellEnd"/>
            <w:r>
              <w:rPr>
                <w:sz w:val="22"/>
              </w:rPr>
              <w:t xml:space="preserve"> R,: Dokumentacja medyczna w praktyce pielęgniarki i położnej. PZWL 2016.</w:t>
            </w:r>
          </w:p>
        </w:tc>
      </w:tr>
      <w:tr w:rsidR="00060EBF">
        <w:tc>
          <w:tcPr>
            <w:tcW w:w="2076" w:type="dxa"/>
            <w:gridSpan w:val="2"/>
          </w:tcPr>
          <w:p w:rsidR="00060EBF" w:rsidRDefault="00F72E68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Literatura dodatkowa</w:t>
            </w:r>
          </w:p>
        </w:tc>
        <w:tc>
          <w:tcPr>
            <w:tcW w:w="7656" w:type="dxa"/>
            <w:gridSpan w:val="12"/>
          </w:tcPr>
          <w:p w:rsidR="00060EBF" w:rsidRDefault="00060EBF">
            <w:pPr>
              <w:spacing w:after="0" w:line="240" w:lineRule="auto"/>
              <w:rPr>
                <w:color w:val="000000"/>
              </w:rPr>
            </w:pPr>
          </w:p>
          <w:p w:rsidR="00060EBF" w:rsidRDefault="00F72E68">
            <w:pPr>
              <w:pStyle w:val="Default"/>
              <w:ind w:left="11" w:hanging="3"/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Kisilowska</w:t>
            </w:r>
            <w:proofErr w:type="spellEnd"/>
            <w:r>
              <w:rPr>
                <w:sz w:val="22"/>
              </w:rPr>
              <w:t xml:space="preserve"> M. Modelowanie rozległych systemów informacyjnych. Wyd. SBP, Warszawa 2009,</w:t>
            </w:r>
          </w:p>
          <w:p w:rsidR="00060EBF" w:rsidRDefault="00F72E68">
            <w:pPr>
              <w:pStyle w:val="Default"/>
              <w:ind w:left="11" w:hanging="3"/>
              <w:jc w:val="both"/>
              <w:rPr>
                <w:sz w:val="22"/>
              </w:rPr>
            </w:pPr>
            <w:r>
              <w:rPr>
                <w:sz w:val="22"/>
              </w:rPr>
              <w:t>Rudowski R. Informatyka medyczna. Wyd. PWN, Warszawa 2003,</w:t>
            </w:r>
          </w:p>
          <w:p w:rsidR="00060EBF" w:rsidRDefault="00F72E68">
            <w:pPr>
              <w:pStyle w:val="Default"/>
              <w:ind w:left="11" w:right="3" w:hanging="6"/>
              <w:jc w:val="both"/>
              <w:rPr>
                <w:sz w:val="22"/>
              </w:rPr>
            </w:pPr>
            <w:r>
              <w:rPr>
                <w:sz w:val="22"/>
              </w:rPr>
              <w:t xml:space="preserve">Kącki E, Kulikowski J.L, Nowakowski A i </w:t>
            </w:r>
            <w:proofErr w:type="spellStart"/>
            <w:r>
              <w:rPr>
                <w:sz w:val="22"/>
              </w:rPr>
              <w:t>wsp</w:t>
            </w:r>
            <w:proofErr w:type="spellEnd"/>
            <w:r>
              <w:rPr>
                <w:sz w:val="22"/>
              </w:rPr>
              <w:t xml:space="preserve">. Systemy komputerowe i teleinformatyczne w służbie zdrowia. Red. Nałęcz M. Biocybernetyka i inżynieria biomedyczna 2000. Akademicka Oficyna Wydawnicza </w:t>
            </w:r>
            <w:proofErr w:type="spellStart"/>
            <w:r>
              <w:rPr>
                <w:sz w:val="22"/>
              </w:rPr>
              <w:t>Exit</w:t>
            </w:r>
            <w:proofErr w:type="spellEnd"/>
            <w:r>
              <w:rPr>
                <w:sz w:val="22"/>
              </w:rPr>
              <w:t>, Warszawa 2002,</w:t>
            </w:r>
          </w:p>
          <w:p w:rsidR="00060EBF" w:rsidRDefault="00F72E68">
            <w:pPr>
              <w:pStyle w:val="Default"/>
              <w:spacing w:before="4"/>
              <w:ind w:left="11" w:hanging="3"/>
              <w:jc w:val="both"/>
              <w:rPr>
                <w:sz w:val="22"/>
              </w:rPr>
            </w:pPr>
            <w:r>
              <w:rPr>
                <w:sz w:val="22"/>
              </w:rPr>
              <w:t>Piętka E. Zintegrowany system informacyjny w pracy szpitala. Wyd. PWN, Warszawa 2004,</w:t>
            </w:r>
          </w:p>
          <w:p w:rsidR="00060EBF" w:rsidRDefault="00F72E68">
            <w:pPr>
              <w:pStyle w:val="Default"/>
              <w:spacing w:before="4"/>
              <w:ind w:left="11" w:hanging="3"/>
              <w:jc w:val="both"/>
              <w:rPr>
                <w:sz w:val="22"/>
              </w:rPr>
            </w:pPr>
            <w:r>
              <w:rPr>
                <w:sz w:val="22"/>
              </w:rPr>
              <w:t>Tadeusiewicz R. Informatyka medyczna. Instytut Informatyki UMCS, Lublin 2011,</w:t>
            </w:r>
          </w:p>
          <w:p w:rsidR="00060EBF" w:rsidRDefault="00F72E68">
            <w:pPr>
              <w:pStyle w:val="Default"/>
              <w:spacing w:before="4"/>
              <w:ind w:left="11" w:hanging="3"/>
              <w:jc w:val="both"/>
              <w:rPr>
                <w:sz w:val="22"/>
              </w:rPr>
            </w:pPr>
            <w:r>
              <w:rPr>
                <w:sz w:val="22"/>
              </w:rPr>
              <w:t xml:space="preserve">Marion J. Ball, Donald W. </w:t>
            </w:r>
            <w:proofErr w:type="spellStart"/>
            <w:r>
              <w:rPr>
                <w:sz w:val="22"/>
              </w:rPr>
              <w:t>Simborg</w:t>
            </w:r>
            <w:proofErr w:type="spellEnd"/>
            <w:r>
              <w:rPr>
                <w:sz w:val="22"/>
              </w:rPr>
              <w:t>. Systemy zarządzania informacją w opiece zdrowotnej. Wyd. PWN, Warszawa 1997,</w:t>
            </w:r>
          </w:p>
          <w:p w:rsidR="00060EBF" w:rsidRDefault="00F72E68">
            <w:pPr>
              <w:pStyle w:val="Default"/>
              <w:spacing w:before="4"/>
              <w:ind w:left="11" w:hanging="3"/>
              <w:jc w:val="both"/>
              <w:rPr>
                <w:sz w:val="22"/>
              </w:rPr>
            </w:pPr>
            <w:r>
              <w:rPr>
                <w:sz w:val="22"/>
              </w:rPr>
              <w:t>prof. zw. dr hab. inż. Ryszard Tadeusiewicz: Informatyka medyczna 2011r.</w:t>
            </w: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Treści programowe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L.P.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Treści programowe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Forma prowadzenia zajęć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Liczba godzin</w:t>
            </w:r>
          </w:p>
        </w:tc>
      </w:tr>
      <w:tr w:rsidR="00060EBF">
        <w:tc>
          <w:tcPr>
            <w:tcW w:w="9732" w:type="dxa"/>
            <w:gridSpan w:val="14"/>
          </w:tcPr>
          <w:p w:rsidR="00060EBF" w:rsidRDefault="00F72E6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SEMESTR 2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Zastosowanie systemów informatycznych w ochronie zdrowia – organizacja, funkcjonowanie i bezpieczeństwo danych medycznych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Wykład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lastRenderedPageBreak/>
              <w:t>2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Wprowadzenie do krajowego systemu informatycznego ochrony zdrowia (P1 / e-Zdrowie)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zrozumienie ogólnej struktury systemu i jego roli.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Omówienie systemu P1 jako centralnej platformy.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Wyjaśnienie przepływu informacji między placówkami medycznymi, aptekami i pacjentami.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- Znaczenie systemu dla ratownictwa medycznego (szybki dostęp do danych pacjenta w terenie).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Moduł e-Recepta i e-Skierowanie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zapoznanie się z praktycznym zastosowaniem e-usług.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Wyjaśnienie mechanizmu wystawiania i realizacji e-recepty oraz e-skierowania.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Analiza korzyści dla ratowników (szybki dostęp do informacji o lekach pacjenta, danych skierowania do szpitala).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Omówienie bezpieczeństwa i autoryzacji w systemie.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4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Elektroniczna Dokumentacja Medyczna (EDM / EHR)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poznanie struktury danych pacjenta i standardów wymiany informacji.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Omówienie zawartości EDM: historia chorób, alergie, wyniki badań.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Znaczenie dokumentacji w podejmowaniu decyzji ratunkowych.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Standard HL7, CDA, FHIR.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5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 xml:space="preserve">Internetowe Konto Pacjenta (IKP) / </w:t>
            </w:r>
            <w:proofErr w:type="spellStart"/>
            <w:r>
              <w:rPr>
                <w:rStyle w:val="Pogrubienie"/>
                <w:color w:val="000000"/>
                <w:sz w:val="22"/>
                <w:szCs w:val="22"/>
              </w:rPr>
              <w:t>mojeIKP</w:t>
            </w:r>
            <w:proofErr w:type="spellEnd"/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nauka działania warstwy klienta i integracji z P1.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Jak portal/aplikacja mobilna komunikuje się z centralnym systemem.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Bezpieczeństwo logowania (profil zaufany, e-dowód, uwierzytelnianie dwuskładnikowe).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Analiza interfejsów API i przepływu danych dla ratownika.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6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Systemy rejestracji pacjentów / gabinet.gov.pl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poznanie funkcji systemów wspierających pracę placówki i interfejsów do P1.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Jak dane pacjenta trafiają do centralnej bazy.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Synchronizacja harmonogramów wizyt i danych medycznych.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Analiza bezpieczeństwa </w:t>
            </w:r>
            <w:proofErr w:type="spellStart"/>
            <w:r>
              <w:rPr>
                <w:color w:val="000000"/>
                <w:sz w:val="22"/>
                <w:szCs w:val="22"/>
              </w:rPr>
              <w:t>przesyłu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danych.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060EBF">
        <w:tc>
          <w:tcPr>
            <w:tcW w:w="675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7</w:t>
            </w:r>
          </w:p>
        </w:tc>
        <w:tc>
          <w:tcPr>
            <w:tcW w:w="6690" w:type="dxa"/>
            <w:gridSpan w:val="9"/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Rejestry medyczne i dziedzinowe systemy teleinformatyczne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zrozumienie systemów analitycznych i baz danych w ochronie zdrowia.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Struktura rejestrów (choroby przewlekłe, szczepienia, nowotwory).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Integracja z EDM i P1.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Przykłady zapytań i raportów dla analizy klinicznej i epidemiologicznej.</w:t>
            </w:r>
          </w:p>
        </w:tc>
        <w:tc>
          <w:tcPr>
            <w:tcW w:w="1545" w:type="dxa"/>
            <w:gridSpan w:val="3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060EBF">
        <w:tc>
          <w:tcPr>
            <w:tcW w:w="675" w:type="dxa"/>
            <w:tcBorders>
              <w:top w:val="nil"/>
            </w:tcBorders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8</w:t>
            </w:r>
          </w:p>
        </w:tc>
        <w:tc>
          <w:tcPr>
            <w:tcW w:w="6690" w:type="dxa"/>
            <w:gridSpan w:val="9"/>
            <w:tcBorders>
              <w:top w:val="nil"/>
            </w:tcBorders>
            <w:vAlign w:val="center"/>
          </w:tcPr>
          <w:p w:rsidR="00060EBF" w:rsidRDefault="00F72E68">
            <w:pPr>
              <w:pStyle w:val="Nagwek3"/>
              <w:rPr>
                <w:rFonts w:hint="eastAsia"/>
              </w:rPr>
            </w:pPr>
            <w:r>
              <w:rPr>
                <w:rStyle w:val="Pogrubienie"/>
                <w:color w:val="000000"/>
                <w:sz w:val="22"/>
                <w:szCs w:val="22"/>
              </w:rPr>
              <w:t>Systemy wspierające decyzje kliniczne (CDSS) i bezpieczeństwo</w:t>
            </w:r>
          </w:p>
          <w:p w:rsidR="00060EBF" w:rsidRDefault="00F72E68">
            <w:pPr>
              <w:pStyle w:val="Tekstpodstawowy"/>
              <w:jc w:val="left"/>
            </w:pPr>
            <w:r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  <w:t>Cel:</w:t>
            </w:r>
            <w:r>
              <w:rPr>
                <w:color w:val="000000"/>
                <w:sz w:val="22"/>
                <w:szCs w:val="22"/>
              </w:rPr>
              <w:t xml:space="preserve"> analiza działania systemów wspierających decyzje medyczne i bezpieczeństwo danych.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CDSS: alerty lekowe, przeciwwskazania, interakcje.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Logowanie zdarzeń, audyt, role użytkowników.</w:t>
            </w:r>
          </w:p>
          <w:p w:rsidR="00060EBF" w:rsidRDefault="00F72E68">
            <w:pPr>
              <w:pStyle w:val="Tekstpodstawowy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Mechanizmy backupu, szyfrowania, ochrona danych medycznych (RODO).</w:t>
            </w:r>
          </w:p>
        </w:tc>
        <w:tc>
          <w:tcPr>
            <w:tcW w:w="1545" w:type="dxa"/>
            <w:gridSpan w:val="3"/>
            <w:tcBorders>
              <w:top w:val="nil"/>
            </w:tcBorders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Ćwiczenia</w:t>
            </w:r>
          </w:p>
        </w:tc>
        <w:tc>
          <w:tcPr>
            <w:tcW w:w="822" w:type="dxa"/>
            <w:tcBorders>
              <w:top w:val="nil"/>
            </w:tcBorders>
            <w:vAlign w:val="center"/>
          </w:tcPr>
          <w:p w:rsidR="00060EBF" w:rsidRDefault="00F72E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</w:tbl>
    <w:p w:rsidR="00060EBF" w:rsidRDefault="00060EBF">
      <w:pPr>
        <w:jc w:val="center"/>
        <w:rPr>
          <w:color w:val="FF0000"/>
        </w:rPr>
      </w:pPr>
    </w:p>
    <w:sectPr w:rsidR="00060EB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A07FD"/>
    <w:multiLevelType w:val="multilevel"/>
    <w:tmpl w:val="392A7F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214D9C"/>
    <w:multiLevelType w:val="multilevel"/>
    <w:tmpl w:val="4FE6BD86"/>
    <w:lvl w:ilvl="0">
      <w:start w:val="1"/>
      <w:numFmt w:val="upperLetter"/>
      <w:lvlText w:val="%1-"/>
      <w:lvlJc w:val="left"/>
      <w:pPr>
        <w:tabs>
          <w:tab w:val="num" w:pos="0"/>
        </w:tabs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BF"/>
    <w:rsid w:val="00060EBF"/>
    <w:rsid w:val="001A393D"/>
    <w:rsid w:val="00276463"/>
    <w:rsid w:val="005528D6"/>
    <w:rsid w:val="00E53E16"/>
    <w:rsid w:val="00F7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CEE0"/>
  <w15:docId w15:val="{9D6CCA0C-E847-4A00-99D7-122696DC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3">
    <w:name w:val="heading 3"/>
    <w:basedOn w:val="Nagwek"/>
    <w:next w:val="Tekstpodstawowy"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FA0F7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17A3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17A3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17A3F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17A3F"/>
    <w:rPr>
      <w:rFonts w:ascii="Segoe UI" w:hAnsi="Segoe UI" w:cs="Segoe UI"/>
      <w:sz w:val="18"/>
      <w:szCs w:val="18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FA0F73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17A3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17A3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17A3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160" w:line="259" w:lineRule="auto"/>
    </w:pPr>
    <w:rPr>
      <w:rFonts w:ascii="Calibri" w:eastAsia="Calibri" w:hAnsi="Calibri"/>
      <w:color w:val="000000"/>
      <w:sz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C7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Inspiration</vt:lpstr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Inspiration</dc:title>
  <dc:subject/>
  <dc:creator>NWSM Dziekanat</dc:creator>
  <dc:description/>
  <cp:lastModifiedBy>NWSM Dziekanat</cp:lastModifiedBy>
  <cp:revision>4</cp:revision>
  <cp:lastPrinted>2026-05-04T09:46:00Z</cp:lastPrinted>
  <dcterms:created xsi:type="dcterms:W3CDTF">2026-05-04T09:48:00Z</dcterms:created>
  <dcterms:modified xsi:type="dcterms:W3CDTF">2026-05-07T12:08:00Z</dcterms:modified>
  <dc:language>pl-PL</dc:language>
</cp:coreProperties>
</file>